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ind w:left="0"/>
        <w:jc w:val="center"/>
        <w:rPr>
          <w:rFonts w:ascii="宋体" w:hAnsi="宋体"/>
          <w:b/>
          <w:sz w:val="36"/>
          <w:szCs w:val="36"/>
        </w:rPr>
      </w:pPr>
    </w:p>
    <w:p>
      <w:pPr>
        <w:pStyle w:val="9"/>
        <w:spacing w:line="360" w:lineRule="auto"/>
        <w:ind w:left="0"/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化学品安全技术说明书</w:t>
      </w:r>
    </w:p>
    <w:p>
      <w:pPr>
        <w:rPr>
          <w:b/>
          <w:sz w:val="72"/>
          <w:szCs w:val="72"/>
        </w:rPr>
      </w:pPr>
    </w:p>
    <w:p>
      <w:pPr>
        <w:ind w:firstLine="1260" w:firstLineChars="450"/>
        <w:rPr>
          <w:sz w:val="28"/>
          <w:szCs w:val="28"/>
        </w:rPr>
      </w:pPr>
    </w:p>
    <w:p>
      <w:pPr>
        <w:ind w:firstLine="1260" w:firstLineChars="450"/>
        <w:rPr>
          <w:sz w:val="28"/>
          <w:szCs w:val="28"/>
        </w:rPr>
      </w:pPr>
    </w:p>
    <w:p>
      <w:pPr>
        <w:ind w:firstLine="1260" w:firstLineChars="4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260" w:firstLineChars="450"/>
        <w:rPr>
          <w:sz w:val="28"/>
          <w:szCs w:val="28"/>
        </w:rPr>
      </w:pPr>
    </w:p>
    <w:p>
      <w:pPr>
        <w:ind w:firstLine="1260" w:firstLineChars="450"/>
        <w:rPr>
          <w:sz w:val="28"/>
          <w:szCs w:val="28"/>
        </w:rPr>
      </w:pPr>
    </w:p>
    <w:p>
      <w:pPr>
        <w:ind w:firstLine="1440" w:firstLineChars="450"/>
        <w:rPr>
          <w:rFonts w:ascii="宋体" w:hAnsi="宋体"/>
          <w:sz w:val="32"/>
          <w:szCs w:val="32"/>
        </w:rPr>
      </w:pPr>
      <w:r>
        <w:rPr>
          <w:sz w:val="32"/>
          <w:szCs w:val="32"/>
        </w:rPr>
        <w:pict>
          <v:line id="_x0000_s1026" o:spid="_x0000_s1026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化学品名称：</w:t>
      </w:r>
      <w:r>
        <w:rPr>
          <w:rFonts w:hint="eastAsia" w:ascii="宋体" w:hAnsi="宋体"/>
          <w:sz w:val="32"/>
          <w:szCs w:val="32"/>
        </w:rPr>
        <w:t xml:space="preserve">        高氯酸钾</w:t>
      </w:r>
    </w:p>
    <w:p>
      <w:pPr>
        <w:ind w:firstLine="1440" w:firstLineChars="450"/>
        <w:rPr>
          <w:rFonts w:ascii="宋体" w:hAnsi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>
          <v:line id="_x0000_s1027" o:spid="_x0000_s1027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企业名称：</w:t>
      </w:r>
      <w:r>
        <w:rPr>
          <w:rFonts w:hint="eastAsia" w:ascii="宋体" w:hAnsi="宋体"/>
          <w:sz w:val="32"/>
          <w:szCs w:val="32"/>
        </w:rPr>
        <w:t xml:space="preserve"> 四川天源天泉盐化工有限公司</w:t>
      </w:r>
    </w:p>
    <w:p>
      <w:pPr>
        <w:ind w:firstLine="1440" w:firstLineChars="450"/>
        <w:rPr>
          <w:rFonts w:ascii="宋体" w:hAnsi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>
          <v:line id="_x0000_s1028" o:spid="_x0000_s1028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地    址：</w:t>
      </w:r>
      <w:r>
        <w:rPr>
          <w:rFonts w:hint="eastAsia" w:ascii="宋体" w:hAnsi="宋体"/>
          <w:sz w:val="32"/>
          <w:szCs w:val="32"/>
        </w:rPr>
        <w:t xml:space="preserve">    四川天全县思</w:t>
      </w:r>
      <w:r>
        <w:rPr>
          <w:rFonts w:hint="eastAsia" w:ascii="宋体" w:hAnsi="宋体"/>
          <w:sz w:val="32"/>
          <w:szCs w:val="32"/>
          <w:lang w:eastAsia="zh-CN"/>
        </w:rPr>
        <w:t>经镇</w:t>
      </w:r>
      <w:r>
        <w:rPr>
          <w:rFonts w:hint="eastAsia" w:ascii="宋体" w:hAnsi="宋体"/>
          <w:sz w:val="32"/>
          <w:szCs w:val="32"/>
        </w:rPr>
        <w:t>思经村</w:t>
      </w:r>
    </w:p>
    <w:p>
      <w:pPr>
        <w:ind w:firstLine="1440" w:firstLineChars="45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  <w:szCs w:val="32"/>
        </w:rPr>
        <w:pict>
          <v:line id="_x0000_s1029" o:spid="_x0000_s1029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邮    编：</w:t>
      </w:r>
      <w:r>
        <w:rPr>
          <w:rFonts w:ascii="宋体" w:hAnsi="宋体"/>
          <w:sz w:val="32"/>
          <w:szCs w:val="32"/>
        </w:rPr>
        <w:t>6255</w:t>
      </w:r>
      <w:r>
        <w:rPr>
          <w:rFonts w:hint="eastAsia" w:ascii="宋体" w:hAnsi="宋体"/>
          <w:sz w:val="32"/>
          <w:szCs w:val="32"/>
          <w:lang w:val="en-US" w:eastAsia="zh-CN"/>
        </w:rPr>
        <w:t>99</w:t>
      </w:r>
    </w:p>
    <w:p>
      <w:pPr>
        <w:ind w:firstLine="1440" w:firstLineChars="45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</w:rPr>
        <w:pict>
          <v:line id="_x0000_s1030" o:spid="_x0000_s1030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电    话：</w:t>
      </w:r>
      <w:r>
        <w:rPr>
          <w:rFonts w:ascii="宋体" w:hAnsi="宋体"/>
          <w:sz w:val="32"/>
          <w:szCs w:val="32"/>
        </w:rPr>
        <w:t>0835-738955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</w:p>
    <w:p>
      <w:pPr>
        <w:ind w:firstLine="1440" w:firstLineChars="450"/>
        <w:rPr>
          <w:rFonts w:ascii="宋体" w:hAnsi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>
          <v:line id="_x0000_s1031" o:spid="_x0000_s1031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应急咨询电话：</w:t>
      </w:r>
      <w:r>
        <w:rPr>
          <w:rFonts w:ascii="宋体" w:hAnsi="宋体"/>
          <w:sz w:val="32"/>
          <w:szCs w:val="32"/>
        </w:rPr>
        <w:t>0835-7389555</w:t>
      </w:r>
    </w:p>
    <w:p>
      <w:pPr>
        <w:ind w:firstLine="1440" w:firstLineChars="450"/>
        <w:rPr>
          <w:rFonts w:ascii="宋体" w:hAnsi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pict>
          <v:line id="_x0000_s1032" o:spid="_x0000_s1032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填写日期：</w:t>
      </w:r>
      <w:r>
        <w:rPr>
          <w:rFonts w:hint="eastAsia" w:ascii="宋体" w:hAnsi="宋体"/>
          <w:sz w:val="32"/>
          <w:szCs w:val="32"/>
        </w:rPr>
        <w:t xml:space="preserve">    二0</w:t>
      </w:r>
      <w:r>
        <w:rPr>
          <w:rFonts w:hint="eastAsia" w:ascii="宋体" w:hAnsi="宋体"/>
          <w:sz w:val="32"/>
          <w:szCs w:val="32"/>
          <w:lang w:eastAsia="zh-CN"/>
        </w:rPr>
        <w:t>二二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eastAsia="zh-CN"/>
        </w:rPr>
        <w:t>十一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eastAsia="zh-CN"/>
        </w:rPr>
        <w:t>二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pStyle w:val="9"/>
        <w:spacing w:line="360" w:lineRule="auto"/>
        <w:ind w:left="0"/>
        <w:rPr>
          <w:rFonts w:ascii="宋体" w:hAnsi="宋体"/>
          <w:b/>
          <w:sz w:val="36"/>
          <w:szCs w:val="36"/>
        </w:rPr>
      </w:pPr>
    </w:p>
    <w:p>
      <w:pPr>
        <w:pStyle w:val="9"/>
        <w:spacing w:line="360" w:lineRule="auto"/>
        <w:ind w:left="0"/>
        <w:rPr>
          <w:rFonts w:ascii="宋体" w:hAnsi="宋体"/>
          <w:b/>
          <w:sz w:val="32"/>
          <w:szCs w:val="32"/>
        </w:rPr>
      </w:pPr>
    </w:p>
    <w:p>
      <w:pPr>
        <w:pStyle w:val="9"/>
        <w:spacing w:line="360" w:lineRule="auto"/>
        <w:ind w:left="0"/>
        <w:jc w:val="center"/>
        <w:rPr>
          <w:rFonts w:ascii="宋体" w:hAnsi="宋体"/>
          <w:b/>
          <w:sz w:val="32"/>
          <w:szCs w:val="32"/>
        </w:rPr>
      </w:pPr>
    </w:p>
    <w:p>
      <w:pPr>
        <w:spacing w:before="100" w:beforeAutospacing="1" w:after="100" w:afterAutospacing="1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说明书目录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第一部分   化学品及企业标识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第二部分   危险性概述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第三部分   成份/组成信息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第四部分   急救措施</w:t>
      </w:r>
    </w:p>
    <w:p>
      <w:r>
        <w:rPr>
          <w:rFonts w:hint="eastAsia" w:ascii="宋体" w:hAnsi="宋体"/>
          <w:b/>
          <w:sz w:val="32"/>
          <w:szCs w:val="32"/>
        </w:rPr>
        <w:t>第五部分   消防措施</w:t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第六部分　 应急处理</w:t>
      </w:r>
    </w:p>
    <w:p>
      <w:r>
        <w:rPr>
          <w:rFonts w:hint="eastAsia" w:ascii="宋体" w:hAnsi="宋体"/>
          <w:b/>
          <w:sz w:val="32"/>
          <w:szCs w:val="32"/>
        </w:rPr>
        <w:t>第七部分   操作处置与储存</w:t>
      </w:r>
    </w:p>
    <w:p>
      <w:pPr>
        <w:ind w:left="1606" w:hanging="1606" w:hanging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第八部分   接触控制和个体防护</w:t>
      </w:r>
    </w:p>
    <w:p>
      <w:r>
        <w:rPr>
          <w:rFonts w:hint="eastAsia" w:ascii="宋体" w:hAnsi="宋体"/>
          <w:b/>
          <w:sz w:val="32"/>
          <w:szCs w:val="32"/>
        </w:rPr>
        <w:t>第九部分   理化特性</w:t>
      </w:r>
    </w:p>
    <w:p>
      <w:pPr>
        <w:ind w:left="1606" w:hanging="1606" w:hanging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第十部分　 稳定性和反应活性</w:t>
      </w:r>
    </w:p>
    <w:p>
      <w:pPr>
        <w:ind w:left="1606" w:hanging="1606" w:hanging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第十一部分　毒理学资料</w:t>
      </w:r>
    </w:p>
    <w:p>
      <w:r>
        <w:rPr>
          <w:rFonts w:hint="eastAsia" w:ascii="宋体" w:hAnsi="宋体"/>
          <w:b/>
          <w:sz w:val="32"/>
          <w:szCs w:val="32"/>
        </w:rPr>
        <w:t>第十二部分　生态学资料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第十三部分　废弃处置</w:t>
      </w:r>
    </w:p>
    <w:p>
      <w:pPr>
        <w:ind w:left="1606" w:hanging="1606" w:hanging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第十四部分　运输信息</w:t>
      </w:r>
    </w:p>
    <w:p>
      <w:pPr>
        <w:ind w:left="1606" w:hanging="1606" w:hanging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第十五部分　法规信息</w:t>
      </w:r>
    </w:p>
    <w:p>
      <w:pPr>
        <w:pStyle w:val="9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第十六部分  其他信息</w:t>
      </w:r>
    </w:p>
    <w:p>
      <w:pPr>
        <w:pStyle w:val="9"/>
        <w:spacing w:line="360" w:lineRule="auto"/>
        <w:ind w:left="0"/>
        <w:jc w:val="center"/>
        <w:rPr>
          <w:rFonts w:ascii="宋体" w:hAnsi="宋体"/>
          <w:b/>
          <w:sz w:val="32"/>
          <w:szCs w:val="32"/>
        </w:rPr>
      </w:pPr>
    </w:p>
    <w:p>
      <w:pPr>
        <w:pStyle w:val="9"/>
        <w:spacing w:line="360" w:lineRule="auto"/>
        <w:ind w:left="0"/>
        <w:jc w:val="center"/>
        <w:rPr>
          <w:rFonts w:ascii="宋体" w:hAnsi="宋体"/>
          <w:b/>
          <w:sz w:val="32"/>
          <w:szCs w:val="32"/>
        </w:rPr>
      </w:pPr>
    </w:p>
    <w:p>
      <w:pPr>
        <w:pStyle w:val="9"/>
        <w:spacing w:line="360" w:lineRule="auto"/>
        <w:ind w:left="0"/>
        <w:jc w:val="center"/>
        <w:rPr>
          <w:rFonts w:ascii="宋体" w:hAnsi="宋体"/>
          <w:b/>
          <w:sz w:val="32"/>
          <w:szCs w:val="32"/>
        </w:rPr>
      </w:pPr>
    </w:p>
    <w:p>
      <w:pPr>
        <w:pStyle w:val="9"/>
        <w:spacing w:line="360" w:lineRule="auto"/>
        <w:ind w:left="0"/>
        <w:jc w:val="center"/>
        <w:rPr>
          <w:rFonts w:ascii="宋体" w:hAnsi="宋体"/>
          <w:b/>
          <w:sz w:val="32"/>
          <w:szCs w:val="32"/>
        </w:rPr>
      </w:pPr>
    </w:p>
    <w:p>
      <w:pPr>
        <w:pStyle w:val="9"/>
        <w:spacing w:line="360" w:lineRule="auto"/>
        <w:ind w:left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第一部分 化学品及企业标识</w:t>
      </w: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pStyle w:val="9"/>
        <w:spacing w:line="360" w:lineRule="auto"/>
        <w:ind w:left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化学品名称:</w:t>
      </w:r>
      <w:r>
        <w:rPr>
          <w:rFonts w:hint="eastAsia" w:ascii="宋体" w:hAnsi="宋体"/>
          <w:sz w:val="28"/>
          <w:szCs w:val="28"/>
        </w:rPr>
        <w:t>高氯酸钾</w:t>
      </w:r>
    </w:p>
    <w:p>
      <w:pPr>
        <w:pStyle w:val="9"/>
        <w:spacing w:line="360" w:lineRule="auto"/>
        <w:ind w:left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化学品英文名称：</w:t>
      </w:r>
      <w:r>
        <w:rPr>
          <w:rFonts w:hint="eastAsia" w:ascii="宋体" w:hAnsi="宋体"/>
          <w:sz w:val="28"/>
          <w:szCs w:val="28"/>
        </w:rPr>
        <w:t>potassium chlorate</w:t>
      </w:r>
    </w:p>
    <w:p>
      <w:pPr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企业名称:</w:t>
      </w:r>
      <w:r>
        <w:rPr>
          <w:rFonts w:hint="eastAsia" w:ascii="宋体" w:hAnsi="宋体"/>
          <w:kern w:val="0"/>
          <w:sz w:val="28"/>
          <w:szCs w:val="28"/>
        </w:rPr>
        <w:t>中文：四川天源天泉盐化工有限公司</w:t>
      </w:r>
    </w:p>
    <w:p>
      <w:pPr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英文：SiChuang TianyuanTianquan Chemicals Stock Co.,Ltd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地址:</w:t>
      </w:r>
      <w:r>
        <w:rPr>
          <w:rFonts w:hint="eastAsia" w:ascii="宋体" w:hAnsi="宋体"/>
          <w:sz w:val="28"/>
          <w:szCs w:val="28"/>
        </w:rPr>
        <w:t>四川天全县思</w:t>
      </w:r>
      <w:r>
        <w:rPr>
          <w:rFonts w:hint="eastAsia" w:ascii="宋体" w:hAnsi="宋体"/>
          <w:sz w:val="28"/>
          <w:szCs w:val="28"/>
          <w:lang w:eastAsia="zh-CN"/>
        </w:rPr>
        <w:t>经镇</w:t>
      </w:r>
      <w:r>
        <w:rPr>
          <w:rFonts w:hint="eastAsia" w:ascii="宋体" w:hAnsi="宋体"/>
          <w:sz w:val="28"/>
          <w:szCs w:val="28"/>
        </w:rPr>
        <w:t>思经村</w:t>
      </w:r>
    </w:p>
    <w:p>
      <w:pPr>
        <w:pStyle w:val="9"/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电话:</w:t>
      </w:r>
      <w:r>
        <w:rPr>
          <w:rFonts w:ascii="宋体" w:hAnsi="宋体"/>
          <w:sz w:val="28"/>
          <w:szCs w:val="28"/>
        </w:rPr>
        <w:t>0835-738955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企业应急电话:</w:t>
      </w:r>
      <w:r>
        <w:rPr>
          <w:rFonts w:ascii="宋体" w:hAnsi="宋体"/>
          <w:sz w:val="28"/>
          <w:szCs w:val="28"/>
        </w:rPr>
        <w:t>0835-7389555</w:t>
      </w:r>
    </w:p>
    <w:p>
      <w:pPr>
        <w:pStyle w:val="9"/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传真号码:</w:t>
      </w:r>
      <w:r>
        <w:rPr>
          <w:rFonts w:ascii="宋体" w:hAnsi="宋体"/>
          <w:sz w:val="28"/>
          <w:szCs w:val="28"/>
        </w:rPr>
        <w:t>0835-73895</w:t>
      </w:r>
      <w:r>
        <w:rPr>
          <w:rFonts w:hint="eastAsia" w:ascii="宋体" w:hAnsi="宋体"/>
          <w:sz w:val="28"/>
          <w:szCs w:val="28"/>
          <w:lang w:val="en-US" w:eastAsia="zh-CN"/>
        </w:rPr>
        <w:t>66</w:t>
      </w:r>
    </w:p>
    <w:p>
      <w:pPr>
        <w:pStyle w:val="9"/>
        <w:spacing w:line="360" w:lineRule="auto"/>
        <w:rPr>
          <w:rFonts w:ascii="微软雅黑" w:hAnsi="微软雅黑" w:eastAsia="微软雅黑" w:cs="微软雅黑"/>
          <w:i w:val="0"/>
          <w:caps w:val="0"/>
          <w:color w:val="23282F"/>
          <w:spacing w:val="0"/>
          <w:sz w:val="24"/>
          <w:szCs w:val="24"/>
          <w:shd w:val="clear" w:fill="FFFFFF"/>
        </w:rPr>
      </w:pPr>
      <w:r>
        <w:rPr>
          <w:rFonts w:hint="eastAsia" w:ascii="宋体" w:hAnsi="宋体"/>
          <w:b/>
          <w:sz w:val="28"/>
          <w:szCs w:val="28"/>
        </w:rPr>
        <w:t>电子邮件地址:</w:t>
      </w:r>
      <w:r>
        <w:rPr>
          <w:rFonts w:ascii="微软雅黑" w:hAnsi="微软雅黑" w:eastAsia="微软雅黑" w:cs="微软雅黑"/>
          <w:i w:val="0"/>
          <w:caps w:val="0"/>
          <w:color w:val="23282F"/>
          <w:spacing w:val="0"/>
          <w:sz w:val="24"/>
          <w:szCs w:val="24"/>
          <w:shd w:val="clear" w:fill="FFFFFF"/>
        </w:rPr>
        <w:t>750185247@qq.com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化学品信息：</w:t>
      </w:r>
      <w:r>
        <w:rPr>
          <w:rFonts w:hint="eastAsia" w:ascii="宋体" w:hAnsi="宋体"/>
          <w:bCs/>
          <w:sz w:val="28"/>
          <w:szCs w:val="28"/>
        </w:rPr>
        <w:t>属</w:t>
      </w:r>
      <w:r>
        <w:rPr>
          <w:rFonts w:hint="eastAsia" w:ascii="宋体" w:hAnsi="宋体"/>
          <w:sz w:val="28"/>
          <w:szCs w:val="28"/>
        </w:rPr>
        <w:t>非重点监管危险化学品；</w:t>
      </w:r>
    </w:p>
    <w:p>
      <w:pPr>
        <w:pStyle w:val="9"/>
        <w:spacing w:line="360" w:lineRule="auto"/>
        <w:ind w:left="1383" w:hanging="1383" w:hangingChars="4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主要用途: </w:t>
      </w:r>
      <w:r>
        <w:rPr>
          <w:rFonts w:hint="eastAsia" w:ascii="宋体" w:hAnsi="宋体"/>
          <w:sz w:val="28"/>
          <w:szCs w:val="28"/>
        </w:rPr>
        <w:t>用作分析试剂、氧化剂、固体火箭燃料，也用于烟火及照明</w:t>
      </w:r>
      <w:r>
        <w:rPr>
          <w:rFonts w:ascii="宋体" w:hAnsi="宋体"/>
          <w:sz w:val="28"/>
          <w:szCs w:val="28"/>
        </w:rPr>
        <w:t>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生效日期：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日 </w:t>
      </w:r>
    </w:p>
    <w:p>
      <w:pPr>
        <w:pStyle w:val="9"/>
        <w:spacing w:line="360" w:lineRule="auto"/>
        <w:ind w:left="0"/>
        <w:rPr>
          <w:rFonts w:ascii="宋体" w:hAnsi="宋体"/>
          <w:sz w:val="28"/>
          <w:szCs w:val="28"/>
        </w:rPr>
      </w:pP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第二部分 危险性概述</w:t>
      </w:r>
    </w:p>
    <w:p>
      <w:pPr>
        <w:pStyle w:val="9"/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pStyle w:val="4"/>
        <w:spacing w:before="80" w:beforeAutospacing="0" w:after="80" w:afterAutospacing="0" w:line="360" w:lineRule="auto"/>
        <w:ind w:left="1383" w:leftChars="-36" w:hanging="1459" w:hangingChars="519"/>
        <w:rPr>
          <w:sz w:val="28"/>
          <w:szCs w:val="28"/>
        </w:rPr>
      </w:pPr>
      <w:r>
        <w:rPr>
          <w:rFonts w:hint="eastAsia" w:cs="Times New Roman"/>
          <w:b/>
          <w:sz w:val="28"/>
          <w:szCs w:val="28"/>
        </w:rPr>
        <w:t xml:space="preserve"> 危险特性</w:t>
      </w:r>
      <w:r>
        <w:rPr>
          <w:rFonts w:cs="Times New Roman"/>
          <w:b/>
          <w:sz w:val="28"/>
          <w:szCs w:val="28"/>
        </w:rPr>
        <w:t>：</w:t>
      </w:r>
      <w:r>
        <w:rPr>
          <w:rStyle w:val="11"/>
          <w:rFonts w:hint="default"/>
          <w:sz w:val="28"/>
          <w:szCs w:val="28"/>
        </w:rPr>
        <w:t>属于强氧化性，熔点525℃，受热610℃发生分解，并放出氧气，可助燃。在受热密闭的容器有爆炸危险；在猛烈撞击或高温下会发生分解爆炸；与还原剂、有机物、易燃物如硫、磷或金属粉末等混合可形成爆炸性混合物；对皮肤、粘膜有强烈刺激性。</w:t>
      </w:r>
    </w:p>
    <w:p>
      <w:pPr>
        <w:rPr>
          <w:rFonts w:ascii="宋体" w:hAnsi="宋体"/>
          <w:b/>
          <w:kern w:val="0"/>
          <w:sz w:val="28"/>
          <w:szCs w:val="28"/>
        </w:rPr>
      </w:pPr>
    </w:p>
    <w:p>
      <w:pPr>
        <w:rPr>
          <w:rFonts w:ascii="_x000B__x000C_" w:hAnsi="_x000B__x000C_"/>
          <w:szCs w:val="18"/>
        </w:rPr>
      </w:pPr>
    </w:p>
    <w:p>
      <w:pPr>
        <w:pStyle w:val="9"/>
        <w:spacing w:line="360" w:lineRule="auto"/>
        <w:ind w:left="1383" w:hanging="1383" w:hangingChars="4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GHS危险性类别:</w:t>
      </w:r>
      <w:r>
        <w:rPr>
          <w:rFonts w:hint="eastAsia" w:ascii="宋体" w:hAnsi="宋体"/>
          <w:sz w:val="28"/>
          <w:szCs w:val="28"/>
        </w:rPr>
        <w:t xml:space="preserve"> 根据全球化学品统一分类和标签标准，该化学品属于：氧化性固体-1；急性毒性-经口-4；急性毒性-经皮-4；急性毒性-吸入-4；</w:t>
      </w:r>
    </w:p>
    <w:p>
      <w:pPr>
        <w:pStyle w:val="9"/>
        <w:spacing w:line="360" w:lineRule="auto"/>
        <w:ind w:left="1383" w:hanging="1383" w:hangingChars="4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标签要素：</w:t>
      </w:r>
    </w:p>
    <w:p>
      <w:pPr>
        <w:pStyle w:val="9"/>
        <w:spacing w:line="360" w:lineRule="auto"/>
        <w:ind w:firstLine="560" w:firstLineChars="200"/>
      </w:pPr>
      <w:r>
        <w:rPr>
          <w:rFonts w:hint="eastAsia" w:ascii="宋体" w:hAnsi="宋体"/>
          <w:sz w:val="28"/>
          <w:szCs w:val="28"/>
        </w:rPr>
        <w:t>象形图：</w:t>
      </w:r>
      <w:r>
        <w:pict>
          <v:shape id="_x0000_i1025" o:spt="75" type="#_x0000_t75" style="height:54pt;width:54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54pt;width:54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8"/>
          <w:szCs w:val="28"/>
        </w:rPr>
        <w:t>警示词：危险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危险性说明：</w:t>
      </w:r>
      <w:r>
        <w:rPr>
          <w:rFonts w:hint="eastAsia" w:ascii="宋体" w:hAnsi="宋体"/>
          <w:sz w:val="28"/>
          <w:szCs w:val="28"/>
        </w:rPr>
        <w:t>可引起燃烧或爆炸；强氧化剂；吞咽有害；皮肤接触有害； 吸入有害。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防范说明：</w:t>
      </w:r>
    </w:p>
    <w:tbl>
      <w:tblPr>
        <w:tblStyle w:val="5"/>
        <w:tblW w:w="9364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068"/>
        <w:gridCol w:w="1068"/>
        <w:gridCol w:w="1068"/>
        <w:gridCol w:w="1068"/>
        <w:gridCol w:w="1068"/>
        <w:gridCol w:w="1068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【预防措施】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·密闭操作，加强通风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·建议操作人员佩戴头罩型电动送风过滤式防尘呼吸器，穿聚乙烯防毒服，戴橡胶手套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·远离火种、热源，工作场所严禁吸烟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·搬运时要轻装轻卸，防止包装及容器损坏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·禁止震动、撞击和摩擦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·配备相应品种和数量的消防器材及泄漏应急处理设备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·倒空的容器可能残留有害物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【事故响应】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·如皮肤或头发接触，应用流动清水清洗污染部位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·误服后，喝蛋清或牛奶，就医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·火灾时，用雾状水、砂土灭火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【安全储存】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·库房阴凉、通风，注意防潮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·保持容器密封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·应与易（可）燃物、硫、磷分储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【废弃处置】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·处置前应参阅国家和地方有关法规。用安全掩埋法处置</w:t>
            </w:r>
          </w:p>
        </w:tc>
      </w:tr>
    </w:tbl>
    <w:p>
      <w:pPr>
        <w:pStyle w:val="9"/>
        <w:spacing w:line="360" w:lineRule="auto"/>
        <w:ind w:left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侵入途径: </w:t>
      </w:r>
      <w:r>
        <w:rPr>
          <w:rFonts w:hint="eastAsia" w:ascii="宋体" w:hAnsi="宋体"/>
          <w:sz w:val="28"/>
          <w:szCs w:val="28"/>
        </w:rPr>
        <w:t>皮肤接触、眼睛接触、吸入、食入。</w:t>
      </w:r>
    </w:p>
    <w:p>
      <w:pPr>
        <w:pStyle w:val="9"/>
        <w:spacing w:line="360" w:lineRule="auto"/>
        <w:ind w:left="1242" w:hanging="1242" w:hangingChars="442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健康危害:</w:t>
      </w:r>
      <w:r>
        <w:rPr>
          <w:rFonts w:hint="eastAsia" w:ascii="宋体" w:hAnsi="宋体"/>
          <w:sz w:val="28"/>
          <w:szCs w:val="28"/>
        </w:rPr>
        <w:t>LD50：1200mg/kg(大鼠经口)，高浓度接触，严重损害粘膜、上呼吸道、眼睛及皮肤。中毒表现有烧灼感、咳嗽、喘息、气短、喉炎、头痛、恶心和呕吐等。</w:t>
      </w:r>
    </w:p>
    <w:p>
      <w:pPr>
        <w:pStyle w:val="9"/>
        <w:spacing w:line="360" w:lineRule="auto"/>
        <w:rPr>
          <w:rStyle w:val="11"/>
          <w:rFonts w:hint="default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环境危害:</w:t>
      </w:r>
      <w:r>
        <w:rPr>
          <w:rStyle w:val="11"/>
          <w:rFonts w:hint="default"/>
          <w:sz w:val="28"/>
          <w:szCs w:val="28"/>
        </w:rPr>
        <w:t xml:space="preserve"> 对水生环境有害。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燃爆危险:</w:t>
      </w:r>
      <w:r>
        <w:rPr>
          <w:rFonts w:hint="eastAsia" w:ascii="宋体" w:hAnsi="宋体"/>
          <w:sz w:val="28"/>
          <w:szCs w:val="28"/>
        </w:rPr>
        <w:t xml:space="preserve"> 强氧化剂。与还原剂、有机物、易燃物如硫、磷等金属粉末混</w:t>
      </w:r>
    </w:p>
    <w:p>
      <w:pPr>
        <w:pStyle w:val="9"/>
        <w:spacing w:line="360" w:lineRule="auto"/>
        <w:ind w:firstLine="1400" w:firstLineChars="500"/>
        <w:rPr>
          <w:rStyle w:val="11"/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合</w:t>
      </w:r>
      <w:r>
        <w:rPr>
          <w:rStyle w:val="11"/>
          <w:rFonts w:hint="default"/>
          <w:sz w:val="28"/>
          <w:szCs w:val="28"/>
        </w:rPr>
        <w:t>或急剧加热会发生爆炸。</w:t>
      </w:r>
    </w:p>
    <w:p>
      <w:pPr>
        <w:pStyle w:val="9"/>
        <w:spacing w:line="360" w:lineRule="auto"/>
        <w:ind w:left="1521" w:hanging="1521" w:hangingChars="541"/>
        <w:rPr>
          <w:rStyle w:val="11"/>
          <w:rFonts w:hint="default"/>
          <w:b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物理化学危险：</w:t>
      </w:r>
      <w:r>
        <w:rPr>
          <w:rStyle w:val="11"/>
          <w:rFonts w:hint="default"/>
          <w:sz w:val="28"/>
          <w:szCs w:val="28"/>
        </w:rPr>
        <w:t>呈固态。外观呈无色晶体或白色结晶粉末。溶于水（水中溶解度1.5g/100g），难溶于乙醇，不溶于乙醚。PH值为7±1.5。与碳、硫、磷及有机物混合,受碰撞和摩擦易产生燃烧和爆炸。当有氯化钾、溴化钾、铜、铁等存在时,分解反应会加速进行。稳定性好于氯酸钾。并且，高氯酸钾还具有助燃性。</w:t>
      </w: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第三部分 成分/组成信息</w:t>
      </w: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pStyle w:val="9"/>
        <w:spacing w:line="360" w:lineRule="auto"/>
        <w:ind w:left="0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纯品</w:t>
      </w:r>
      <w:r>
        <w:rPr>
          <w:rFonts w:hint="eastAsia" w:ascii="宋体" w:hAnsi="宋体"/>
          <w:b/>
          <w:bCs/>
          <w:sz w:val="28"/>
          <w:szCs w:val="28"/>
        </w:rPr>
        <w:t xml:space="preserve"> √     </w:t>
      </w:r>
      <w:r>
        <w:rPr>
          <w:rFonts w:hint="eastAsia" w:ascii="宋体" w:hAnsi="宋体"/>
          <w:b/>
          <w:sz w:val="28"/>
          <w:szCs w:val="28"/>
        </w:rPr>
        <w:t xml:space="preserve"> 混合物</w:t>
      </w:r>
      <w:r>
        <w:rPr>
          <w:rFonts w:hint="eastAsia" w:ascii="宋体" w:hAnsi="宋体"/>
          <w:b/>
          <w:sz w:val="28"/>
          <w:szCs w:val="28"/>
          <w:lang w:eastAsia="zh-CN"/>
        </w:rPr>
        <w:t>□</w:t>
      </w:r>
    </w:p>
    <w:p>
      <w:pPr>
        <w:pStyle w:val="9"/>
        <w:spacing w:line="360" w:lineRule="auto"/>
        <w:ind w:left="-4" w:leftChars="-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主要</w:t>
      </w:r>
      <w:r>
        <w:rPr>
          <w:rFonts w:hint="eastAsia" w:ascii="宋体" w:hAnsi="宋体"/>
          <w:b/>
          <w:sz w:val="28"/>
          <w:szCs w:val="28"/>
        </w:rPr>
        <w:t>成分：</w:t>
      </w:r>
      <w:r>
        <w:rPr>
          <w:rFonts w:hint="eastAsia" w:ascii="宋体" w:hAnsi="宋体"/>
          <w:sz w:val="28"/>
          <w:szCs w:val="28"/>
        </w:rPr>
        <w:t xml:space="preserve">高氯酸钾                </w:t>
      </w:r>
    </w:p>
    <w:p>
      <w:pPr>
        <w:pStyle w:val="9"/>
        <w:spacing w:line="360" w:lineRule="auto"/>
        <w:ind w:left="-4" w:leftChars="-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含量：</w:t>
      </w:r>
      <w:r>
        <w:rPr>
          <w:rFonts w:hint="eastAsia" w:ascii="宋体" w:hAnsi="宋体"/>
          <w:sz w:val="28"/>
          <w:szCs w:val="28"/>
        </w:rPr>
        <w:t xml:space="preserve">≥99.0%    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pStyle w:val="9"/>
        <w:spacing w:line="360" w:lineRule="auto"/>
        <w:ind w:left="-4" w:leftChars="-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CAS号：</w:t>
      </w:r>
      <w:r>
        <w:rPr>
          <w:rFonts w:hint="eastAsia" w:ascii="宋体" w:hAnsi="宋体"/>
          <w:sz w:val="28"/>
          <w:szCs w:val="28"/>
        </w:rPr>
        <w:t>7778-74-7</w:t>
      </w:r>
    </w:p>
    <w:p>
      <w:pPr>
        <w:pStyle w:val="9"/>
        <w:spacing w:line="360" w:lineRule="auto"/>
        <w:ind w:left="0"/>
        <w:rPr>
          <w:rFonts w:ascii="宋体" w:hAnsi="宋体"/>
          <w:sz w:val="28"/>
          <w:szCs w:val="28"/>
        </w:rPr>
      </w:pP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第四部分 急救措施</w:t>
      </w: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pStyle w:val="9"/>
        <w:spacing w:line="360" w:lineRule="auto"/>
        <w:ind w:left="829" w:hanging="829" w:hangingChars="29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吸入:</w:t>
      </w:r>
      <w:r>
        <w:rPr>
          <w:rFonts w:hint="eastAsia" w:ascii="宋体" w:hAnsi="宋体"/>
          <w:sz w:val="28"/>
          <w:szCs w:val="28"/>
        </w:rPr>
        <w:t xml:space="preserve"> 迅速脱离现场至空气新鲜处，保持呼吸道畅通。如呼吸困难,给输氧。如呼吸停，立即进行人工呼吸，就医。</w:t>
      </w:r>
    </w:p>
    <w:p>
      <w:pPr>
        <w:pStyle w:val="9"/>
        <w:spacing w:line="360" w:lineRule="auto"/>
        <w:ind w:left="1383" w:hanging="1383" w:hangingChars="4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皮肤接触:</w:t>
      </w:r>
      <w:r>
        <w:rPr>
          <w:rFonts w:hint="eastAsia" w:ascii="宋体" w:hAnsi="宋体"/>
          <w:sz w:val="28"/>
          <w:szCs w:val="28"/>
        </w:rPr>
        <w:t xml:space="preserve"> 脱去被污染的衣物,用肥皂水和大量流动清水冲洗，至少15分钟。如有不适感，就医。</w:t>
      </w:r>
    </w:p>
    <w:p>
      <w:pPr>
        <w:pStyle w:val="9"/>
        <w:spacing w:line="360" w:lineRule="auto"/>
        <w:ind w:left="1383" w:hanging="1383" w:hangingChars="4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眼睛接触:</w:t>
      </w:r>
      <w:r>
        <w:rPr>
          <w:rFonts w:hint="eastAsia" w:ascii="宋体" w:hAnsi="宋体"/>
          <w:sz w:val="28"/>
          <w:szCs w:val="28"/>
        </w:rPr>
        <w:t xml:space="preserve"> 提起眼睑,用大量流动清水或生理盐水彻底冲洗至少15分钟。如有不适感，就医。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食入: </w:t>
      </w:r>
      <w:r>
        <w:rPr>
          <w:rFonts w:hint="eastAsia" w:ascii="宋体" w:hAnsi="宋体"/>
          <w:sz w:val="28"/>
          <w:szCs w:val="28"/>
        </w:rPr>
        <w:t>误服者用水漱口，给饮牛奶或蛋清。就医。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第五部分 消防措施</w:t>
      </w:r>
    </w:p>
    <w:p>
      <w:pPr>
        <w:pStyle w:val="4"/>
        <w:spacing w:before="80" w:beforeAutospacing="0" w:after="80" w:afterAutospacing="0" w:line="360" w:lineRule="auto"/>
        <w:rPr>
          <w:rStyle w:val="10"/>
          <w:rFonts w:hint="default" w:ascii="宋体" w:eastAsia="宋体"/>
          <w:b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危险特性：</w:t>
      </w:r>
      <w:r>
        <w:rPr>
          <w:rStyle w:val="11"/>
          <w:rFonts w:hint="default"/>
          <w:sz w:val="28"/>
          <w:szCs w:val="28"/>
        </w:rPr>
        <w:t>高温分解，放出氧气，在受热密闭的容器中有爆炸危险。与还原剂、有机物、易燃物如硫、磷或金属粉末等混合可形成爆炸性混合物。</w:t>
      </w:r>
    </w:p>
    <w:p>
      <w:pPr>
        <w:ind w:left="1405" w:hanging="1405" w:hangingChars="500"/>
        <w:rPr>
          <w:rStyle w:val="11"/>
          <w:rFonts w:hint="default" w:cs="宋体"/>
          <w:kern w:val="0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灭火方法：</w:t>
      </w:r>
      <w:r>
        <w:rPr>
          <w:rStyle w:val="11"/>
          <w:rFonts w:hint="default" w:cs="宋体"/>
          <w:kern w:val="0"/>
          <w:sz w:val="28"/>
          <w:szCs w:val="28"/>
        </w:rPr>
        <w:t>用水、干粉进行扑救，对暴露于火场中的容器，用水雾冷却，防止爆炸，安全情况下将容器搬离。</w:t>
      </w:r>
    </w:p>
    <w:p>
      <w:pPr>
        <w:ind w:left="1405" w:hanging="1405" w:hangingChars="500"/>
        <w:rPr>
          <w:b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灭火注意事项及措施：</w:t>
      </w:r>
      <w:r>
        <w:rPr>
          <w:rStyle w:val="11"/>
          <w:rFonts w:hint="default"/>
          <w:sz w:val="28"/>
          <w:szCs w:val="28"/>
        </w:rPr>
        <w:t>消防人员必须</w:t>
      </w:r>
      <w:r>
        <w:rPr>
          <w:rFonts w:hint="eastAsia" w:ascii="_x000B__x000C_" w:hAnsi="_x000B__x000C_"/>
          <w:sz w:val="28"/>
          <w:szCs w:val="28"/>
        </w:rPr>
        <w:t>消防员的个体防护：佩戴自给式呼吸器，穿防火防毒服、防护靴</w:t>
      </w:r>
      <w:r>
        <w:rPr>
          <w:rStyle w:val="11"/>
          <w:rFonts w:hint="default"/>
          <w:sz w:val="28"/>
          <w:szCs w:val="28"/>
        </w:rPr>
        <w:t>，在上风向灭火。尽可能将容器从火场移至空旷处。喷水保持火场容器冷却，直至灭火结束。在火场中与可燃物混合会爆炸，消防人员须在有防爆掩蔽处操作。禁止用砂土压盖。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第六部分 泄漏应急处理</w:t>
      </w:r>
    </w:p>
    <w:p>
      <w:pPr>
        <w:pStyle w:val="9"/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>
      <w:pPr>
        <w:pStyle w:val="9"/>
        <w:spacing w:line="360" w:lineRule="auto"/>
        <w:ind w:left="1383" w:hanging="1383" w:hangingChars="492"/>
        <w:rPr>
          <w:rStyle w:val="11"/>
          <w:rFonts w:hint="default"/>
          <w:b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作业人员防护措施、防护装备和应急处置程序：</w:t>
      </w:r>
    </w:p>
    <w:p>
      <w:pPr>
        <w:pStyle w:val="9"/>
        <w:spacing w:line="360" w:lineRule="auto"/>
        <w:ind w:left="0" w:firstLine="546" w:firstLineChars="195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sz w:val="28"/>
          <w:szCs w:val="28"/>
        </w:rPr>
        <w:t>隔离泄漏污染区，限制出入。建议应急处理人员戴防尘口罩，穿防毒服。勿使泄漏物与可燃物质（如木材、纸、油等）接触。穿上适当的防护服前严禁接触破裂的容器和泄漏物。尽可能切断泄漏源。</w:t>
      </w:r>
    </w:p>
    <w:p>
      <w:pPr>
        <w:pStyle w:val="9"/>
        <w:spacing w:line="360" w:lineRule="auto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环境保护措施：</w:t>
      </w:r>
      <w:r>
        <w:rPr>
          <w:rStyle w:val="11"/>
          <w:rFonts w:hint="default"/>
          <w:sz w:val="28"/>
          <w:szCs w:val="28"/>
        </w:rPr>
        <w:t>防止泄漏物进入水体、下水道。</w:t>
      </w:r>
    </w:p>
    <w:p>
      <w:pPr>
        <w:pStyle w:val="9"/>
        <w:spacing w:line="360" w:lineRule="auto"/>
        <w:rPr>
          <w:rStyle w:val="11"/>
          <w:rFonts w:hint="default"/>
          <w:b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泄漏化学品的收容、清除方法及所使用的处置材料：</w:t>
      </w:r>
    </w:p>
    <w:p>
      <w:pPr>
        <w:pStyle w:val="9"/>
        <w:spacing w:line="360" w:lineRule="auto"/>
        <w:ind w:left="0" w:firstLine="546" w:firstLineChars="195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sz w:val="28"/>
          <w:szCs w:val="28"/>
        </w:rPr>
        <w:t>小量泄漏：用洁净的铲子收集泄漏物，置于干净、干燥、盖子较松的容器中，将容器移离泄漏区。</w:t>
      </w:r>
    </w:p>
    <w:p>
      <w:pPr>
        <w:pStyle w:val="9"/>
        <w:spacing w:line="360" w:lineRule="auto"/>
        <w:ind w:left="0" w:firstLine="546" w:firstLineChars="195"/>
        <w:rPr>
          <w:rFonts w:ascii="宋体" w:hAnsi="宋体"/>
          <w:b/>
          <w:sz w:val="28"/>
          <w:szCs w:val="28"/>
        </w:rPr>
      </w:pPr>
      <w:r>
        <w:rPr>
          <w:rStyle w:val="11"/>
          <w:rFonts w:hint="default"/>
          <w:sz w:val="28"/>
          <w:szCs w:val="28"/>
        </w:rPr>
        <w:t>大量泄漏：用塑料布、帆布覆盖，减少飞散，然后收集回收或运至废物处理场所处置。泄漏物回收后，用水冲洗泄漏区。</w:t>
      </w:r>
    </w:p>
    <w:p>
      <w:pPr>
        <w:pStyle w:val="9"/>
        <w:spacing w:line="360" w:lineRule="auto"/>
        <w:ind w:left="0"/>
        <w:rPr>
          <w:rFonts w:ascii="宋体" w:hAnsi="宋体"/>
          <w:sz w:val="32"/>
          <w:szCs w:val="32"/>
        </w:rPr>
      </w:pP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第七部分 操作处置与储存</w:t>
      </w:r>
    </w:p>
    <w:p>
      <w:pPr>
        <w:pStyle w:val="9"/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>
      <w:pPr>
        <w:pStyle w:val="4"/>
        <w:spacing w:before="80" w:beforeAutospacing="0" w:after="80" w:afterAutospacing="0" w:line="360" w:lineRule="auto"/>
        <w:ind w:left="1940" w:hanging="1940" w:hangingChars="69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操作注意事项:</w:t>
      </w:r>
      <w:r>
        <w:rPr>
          <w:rStyle w:val="11"/>
          <w:rFonts w:hint="default"/>
          <w:sz w:val="28"/>
          <w:szCs w:val="28"/>
        </w:rPr>
        <w:t xml:space="preserve"> 密闭操作，加强通风。操作人员必须经过专门培训，严格遵守操作规程。建议操作人员佩戴防尘口罩，戴橡胶手套。远离火种、热源，工作场所严禁吸烟。避免产生粉尘。避免与还原剂、活性金属粉末、酸类、醇类接触。搬运时要轻装轻卸，防止包装及容器损坏。禁止震动、撞击和摩擦。配备相应品种和数量的消防器材及泄漏应急处理设备。倒空的容器可能残留有害物。</w:t>
      </w:r>
    </w:p>
    <w:p>
      <w:pPr>
        <w:pStyle w:val="4"/>
        <w:spacing w:before="80" w:beforeAutospacing="0" w:after="80" w:afterAutospacing="0" w:line="360" w:lineRule="auto"/>
        <w:ind w:left="1940" w:hanging="1940" w:hangingChars="69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储存注意事项:</w:t>
      </w:r>
      <w:r>
        <w:rPr>
          <w:rStyle w:val="11"/>
          <w:rFonts w:hint="default"/>
          <w:sz w:val="28"/>
          <w:szCs w:val="28"/>
        </w:rPr>
        <w:t>储存于阴凉、通风的库房。远离火种、热源。库温不超过30℃，相对湿度不超过80％。包装密封。应与还原剂、活性金属粉末、酸类、醇类等分开存放，切忌混储。储区应备有合适的材料收容泄漏物。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第八部分 接触控制和个体防护</w:t>
      </w:r>
    </w:p>
    <w:p>
      <w:pPr>
        <w:pStyle w:val="9"/>
        <w:spacing w:line="360" w:lineRule="auto"/>
        <w:ind w:left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最高容许浓度MAC（mg/m3）: </w:t>
      </w:r>
      <w:r>
        <w:rPr>
          <w:rFonts w:hint="eastAsia"/>
          <w:sz w:val="28"/>
          <w:szCs w:val="28"/>
        </w:rPr>
        <w:t xml:space="preserve">未制定标准。        </w:t>
      </w:r>
    </w:p>
    <w:p>
      <w:pPr>
        <w:pStyle w:val="9"/>
        <w:spacing w:line="360" w:lineRule="auto"/>
        <w:ind w:left="0"/>
        <w:rPr>
          <w:rFonts w:ascii="宋体" w:hAnsi="宋体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监测方法：</w:t>
      </w:r>
      <w:r>
        <w:rPr>
          <w:rStyle w:val="11"/>
          <w:rFonts w:hint="default"/>
          <w:sz w:val="28"/>
          <w:szCs w:val="28"/>
        </w:rPr>
        <w:t>火焰原子吸收光谱法。</w:t>
      </w:r>
    </w:p>
    <w:p>
      <w:pPr>
        <w:pStyle w:val="9"/>
        <w:spacing w:line="360" w:lineRule="auto"/>
        <w:ind w:left="1661" w:hanging="1661" w:hangingChars="591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工程控制:  </w:t>
      </w:r>
      <w:r>
        <w:rPr>
          <w:rFonts w:hint="eastAsia"/>
          <w:sz w:val="28"/>
          <w:szCs w:val="28"/>
        </w:rPr>
        <w:t xml:space="preserve"> 生产过程密封,加强通风。提供安全淋浴和洗眼设备。</w:t>
      </w:r>
    </w:p>
    <w:p>
      <w:pPr>
        <w:pStyle w:val="9"/>
        <w:spacing w:line="360" w:lineRule="auto"/>
        <w:rPr>
          <w:rStyle w:val="11"/>
          <w:rFonts w:hint="default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呼吸系统防护：</w:t>
      </w:r>
      <w:r>
        <w:rPr>
          <w:rStyle w:val="11"/>
          <w:rFonts w:hint="default"/>
          <w:sz w:val="28"/>
          <w:szCs w:val="28"/>
        </w:rPr>
        <w:t>防尘口罩。</w:t>
      </w:r>
    </w:p>
    <w:p>
      <w:pPr>
        <w:pStyle w:val="9"/>
        <w:spacing w:line="360" w:lineRule="auto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手防护：</w:t>
      </w:r>
      <w:r>
        <w:rPr>
          <w:rStyle w:val="11"/>
          <w:rFonts w:hint="default"/>
          <w:sz w:val="28"/>
          <w:szCs w:val="28"/>
        </w:rPr>
        <w:t>橡胶手套。</w:t>
      </w:r>
    </w:p>
    <w:p>
      <w:pPr>
        <w:pStyle w:val="9"/>
        <w:spacing w:line="360" w:lineRule="auto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眼镜防护：</w:t>
      </w:r>
      <w:r>
        <w:rPr>
          <w:rStyle w:val="11"/>
          <w:rFonts w:hint="default"/>
          <w:sz w:val="28"/>
          <w:szCs w:val="28"/>
        </w:rPr>
        <w:t>戴化学安全防护眼镜。</w:t>
      </w:r>
    </w:p>
    <w:p>
      <w:pPr>
        <w:pStyle w:val="9"/>
        <w:spacing w:line="360" w:lineRule="auto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皮肤和身体防护：</w:t>
      </w:r>
      <w:r>
        <w:rPr>
          <w:rStyle w:val="11"/>
          <w:rFonts w:hint="default"/>
          <w:sz w:val="28"/>
          <w:szCs w:val="28"/>
        </w:rPr>
        <w:t>穿密闭型防毒服。</w:t>
      </w:r>
    </w:p>
    <w:p>
      <w:pPr>
        <w:pStyle w:val="9"/>
        <w:spacing w:line="360" w:lineRule="auto"/>
        <w:ind w:left="1439" w:hanging="1439" w:hangingChars="512"/>
        <w:rPr>
          <w:rFonts w:ascii="宋体" w:hAnsi="宋体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其他防护：</w:t>
      </w:r>
      <w:r>
        <w:rPr>
          <w:rStyle w:val="11"/>
          <w:rFonts w:hint="default"/>
          <w:sz w:val="28"/>
          <w:szCs w:val="28"/>
        </w:rPr>
        <w:t>工作现场禁止吸烟、进食和饮水。工作完毕，淋浴更衣，保持良好的卫生习惯。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第九部分 理化特性</w:t>
      </w:r>
    </w:p>
    <w:p>
      <w:pPr>
        <w:pStyle w:val="9"/>
        <w:spacing w:line="360" w:lineRule="auto"/>
        <w:ind w:left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外观与现状:</w:t>
      </w:r>
      <w:r>
        <w:rPr>
          <w:rFonts w:hint="eastAsia" w:ascii="宋体" w:hAnsi="宋体"/>
          <w:sz w:val="28"/>
          <w:szCs w:val="28"/>
        </w:rPr>
        <w:t xml:space="preserve"> 无色结晶或白色晶状粉末。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气味：</w:t>
      </w:r>
      <w:r>
        <w:rPr>
          <w:rFonts w:hint="eastAsia" w:ascii="宋体" w:hAnsi="宋体"/>
          <w:sz w:val="28"/>
          <w:szCs w:val="28"/>
        </w:rPr>
        <w:t>无气味。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PH值：</w:t>
      </w:r>
      <w:r>
        <w:rPr>
          <w:rFonts w:hint="eastAsia" w:ascii="宋体" w:hAnsi="宋体"/>
          <w:sz w:val="28"/>
          <w:szCs w:val="28"/>
        </w:rPr>
        <w:t xml:space="preserve">7±1.5    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熔点(℃):</w:t>
      </w:r>
      <w:r>
        <w:rPr>
          <w:rFonts w:hint="eastAsia" w:ascii="宋体" w:hAnsi="宋体"/>
          <w:sz w:val="28"/>
          <w:szCs w:val="28"/>
        </w:rPr>
        <w:t>525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沸点(℃)：</w:t>
      </w:r>
      <w:r>
        <w:rPr>
          <w:rFonts w:hint="eastAsia" w:ascii="宋体" w:hAnsi="宋体"/>
          <w:sz w:val="28"/>
          <w:szCs w:val="28"/>
        </w:rPr>
        <w:t>无意义。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闪点(℃): </w:t>
      </w:r>
      <w:r>
        <w:rPr>
          <w:rFonts w:hint="eastAsia" w:ascii="宋体" w:hAnsi="宋体"/>
          <w:sz w:val="28"/>
          <w:szCs w:val="28"/>
        </w:rPr>
        <w:t>无意义。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爆炸极限%（v/v</w:t>
      </w:r>
      <w:r>
        <w:rPr>
          <w:rFonts w:ascii="宋体" w:hAnsi="宋体"/>
          <w:b/>
          <w:sz w:val="28"/>
          <w:szCs w:val="28"/>
        </w:rPr>
        <w:t>）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无意义。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蒸汽压(KPa)：</w:t>
      </w:r>
      <w:r>
        <w:rPr>
          <w:rFonts w:hint="eastAsia" w:ascii="宋体" w:hAnsi="宋体"/>
          <w:sz w:val="28"/>
          <w:szCs w:val="28"/>
        </w:rPr>
        <w:t xml:space="preserve">无资料。     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相对密度(水=1):</w:t>
      </w:r>
      <w:r>
        <w:rPr>
          <w:rFonts w:hint="eastAsia" w:ascii="宋体" w:hAnsi="宋体"/>
          <w:sz w:val="28"/>
          <w:szCs w:val="28"/>
        </w:rPr>
        <w:t xml:space="preserve"> 2.52。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溶解性:</w:t>
      </w:r>
      <w:r>
        <w:rPr>
          <w:rFonts w:hint="eastAsia" w:ascii="宋体" w:hAnsi="宋体"/>
          <w:sz w:val="28"/>
          <w:szCs w:val="28"/>
        </w:rPr>
        <w:t xml:space="preserve">微溶于水（1.5g/100g）,难溶于乙醇，不溶于乙醚。                      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辛醇/水分配系数的对数值:</w:t>
      </w:r>
      <w:r>
        <w:rPr>
          <w:rFonts w:hint="eastAsia" w:ascii="宋体" w:hAnsi="宋体"/>
          <w:sz w:val="28"/>
          <w:szCs w:val="28"/>
        </w:rPr>
        <w:t>无资料。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自燃温度：</w:t>
      </w:r>
      <w:r>
        <w:rPr>
          <w:rFonts w:hint="eastAsia" w:ascii="宋体" w:hAnsi="宋体"/>
          <w:sz w:val="28"/>
          <w:szCs w:val="28"/>
        </w:rPr>
        <w:t xml:space="preserve">无意义。 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分解温度(℃):</w:t>
      </w:r>
      <w:r>
        <w:rPr>
          <w:rFonts w:hint="eastAsia" w:ascii="宋体" w:hAnsi="宋体"/>
          <w:sz w:val="28"/>
          <w:szCs w:val="28"/>
        </w:rPr>
        <w:t>610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第十部分  稳定性和反应性</w:t>
      </w: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稳定性:</w:t>
      </w:r>
      <w:r>
        <w:rPr>
          <w:rFonts w:hint="eastAsia" w:ascii="宋体" w:hAnsi="宋体"/>
          <w:sz w:val="28"/>
          <w:szCs w:val="28"/>
        </w:rPr>
        <w:t xml:space="preserve"> 稳定          .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避免接触的条件:</w:t>
      </w:r>
      <w:r>
        <w:rPr>
          <w:rFonts w:hint="eastAsia" w:ascii="宋体" w:hAnsi="宋体"/>
          <w:sz w:val="28"/>
          <w:szCs w:val="28"/>
        </w:rPr>
        <w:t xml:space="preserve"> 明火、高温、撞击和摩擦、还原剂 、有机物、易燃物。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禁配物:</w:t>
      </w:r>
      <w:r>
        <w:rPr>
          <w:rFonts w:hint="eastAsia" w:ascii="宋体" w:hAnsi="宋体"/>
          <w:sz w:val="28"/>
          <w:szCs w:val="28"/>
        </w:rPr>
        <w:t xml:space="preserve">强还原剂、活性金属粉末、强酸、醇类、易燃或可燃物。      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聚合危害:</w:t>
      </w:r>
      <w:r>
        <w:rPr>
          <w:rFonts w:hint="eastAsia" w:ascii="宋体" w:hAnsi="宋体"/>
          <w:sz w:val="28"/>
          <w:szCs w:val="28"/>
        </w:rPr>
        <w:t xml:space="preserve">不发生聚合。   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分解产物:</w:t>
      </w:r>
      <w:r>
        <w:rPr>
          <w:rFonts w:hint="eastAsia" w:ascii="宋体" w:hAnsi="宋体"/>
          <w:sz w:val="28"/>
          <w:szCs w:val="28"/>
        </w:rPr>
        <w:t>氯化钾、氯化物、氧气。</w:t>
      </w:r>
    </w:p>
    <w:p>
      <w:pPr>
        <w:pStyle w:val="4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Style w:val="12"/>
          <w:rFonts w:hint="default" w:ascii="宋体" w:eastAsia="宋体"/>
          <w:b/>
          <w:sz w:val="32"/>
          <w:szCs w:val="32"/>
        </w:rPr>
        <w:t>第十一部分 毒理学资料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急性毒性：</w:t>
      </w:r>
      <w:r>
        <w:rPr>
          <w:rStyle w:val="11"/>
          <w:rFonts w:hint="default"/>
          <w:sz w:val="28"/>
          <w:szCs w:val="28"/>
        </w:rPr>
        <w:t>无资料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亚急性和慢性毒性：</w:t>
      </w:r>
      <w:r>
        <w:rPr>
          <w:rStyle w:val="11"/>
          <w:rFonts w:hint="default"/>
          <w:sz w:val="28"/>
          <w:szCs w:val="28"/>
        </w:rPr>
        <w:t>无资料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皮肤刺激或腐蚀：</w:t>
      </w:r>
      <w:r>
        <w:rPr>
          <w:rStyle w:val="11"/>
          <w:rFonts w:hint="default"/>
          <w:sz w:val="28"/>
          <w:szCs w:val="28"/>
        </w:rPr>
        <w:t>无资料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眼睛刺激或腐蚀：</w:t>
      </w:r>
      <w:r>
        <w:rPr>
          <w:rStyle w:val="11"/>
          <w:rFonts w:hint="default"/>
          <w:sz w:val="28"/>
          <w:szCs w:val="28"/>
        </w:rPr>
        <w:t>无资料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呼吸或皮肤过敏：</w:t>
      </w:r>
      <w:r>
        <w:rPr>
          <w:rStyle w:val="11"/>
          <w:rFonts w:hint="default"/>
          <w:sz w:val="28"/>
          <w:szCs w:val="28"/>
        </w:rPr>
        <w:t>无资料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生殖细胞突变性：</w:t>
      </w:r>
      <w:r>
        <w:rPr>
          <w:rStyle w:val="11"/>
          <w:rFonts w:hint="default"/>
          <w:sz w:val="28"/>
          <w:szCs w:val="28"/>
        </w:rPr>
        <w:t>无资料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致畸性：</w:t>
      </w:r>
      <w:r>
        <w:rPr>
          <w:rStyle w:val="11"/>
          <w:rFonts w:hint="default"/>
          <w:sz w:val="28"/>
          <w:szCs w:val="28"/>
        </w:rPr>
        <w:t>大鼠孕后1-9天经口给予最低中毒剂量（TDL0）27675 mg/kg，致内分泌系统发育畸形。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致癌性：</w:t>
      </w:r>
      <w:r>
        <w:rPr>
          <w:rStyle w:val="11"/>
          <w:rFonts w:hint="default"/>
          <w:sz w:val="28"/>
          <w:szCs w:val="28"/>
        </w:rPr>
        <w:t>无资料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生殖毒性：</w:t>
      </w:r>
      <w:r>
        <w:rPr>
          <w:rStyle w:val="11"/>
          <w:rFonts w:hint="default"/>
          <w:sz w:val="28"/>
          <w:szCs w:val="28"/>
        </w:rPr>
        <w:t>无资料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特异性靶器官系统毒性——</w:t>
      </w:r>
      <w:r>
        <w:rPr>
          <w:rStyle w:val="11"/>
          <w:rFonts w:hint="default"/>
          <w:sz w:val="28"/>
          <w:szCs w:val="28"/>
        </w:rPr>
        <w:t>一次性接触：无资料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特异性靶器官系统毒性——</w:t>
      </w:r>
      <w:r>
        <w:rPr>
          <w:rStyle w:val="11"/>
          <w:rFonts w:hint="default"/>
          <w:sz w:val="28"/>
          <w:szCs w:val="28"/>
        </w:rPr>
        <w:t>反复接触：无资料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0"/>
          <w:rFonts w:hint="default" w:ascii="宋体" w:eastAsia="宋体"/>
          <w:b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吸入危害：无资料</w:t>
      </w: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第十二部分  生态学资料</w:t>
      </w: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pStyle w:val="4"/>
        <w:spacing w:before="80" w:beforeAutospacing="0" w:after="80" w:afterAutospacing="0" w:line="360" w:lineRule="auto"/>
        <w:ind w:left="1200" w:hanging="1200"/>
        <w:rPr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生态毒性：</w:t>
      </w:r>
      <w:r>
        <w:rPr>
          <w:rStyle w:val="11"/>
          <w:rFonts w:hint="eastAsia"/>
          <w:sz w:val="28"/>
          <w:szCs w:val="28"/>
          <w:lang w:eastAsia="zh-CN"/>
        </w:rPr>
        <w:t>有毒</w:t>
      </w:r>
      <w:r>
        <w:rPr>
          <w:rStyle w:val="11"/>
          <w:rFonts w:hint="default"/>
          <w:sz w:val="28"/>
          <w:szCs w:val="28"/>
        </w:rPr>
        <w:t>。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生物降解性：</w:t>
      </w:r>
      <w:r>
        <w:rPr>
          <w:rStyle w:val="11"/>
          <w:rFonts w:hint="default"/>
          <w:sz w:val="28"/>
          <w:szCs w:val="28"/>
        </w:rPr>
        <w:t>无资料。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非生物降解性：</w:t>
      </w:r>
      <w:r>
        <w:rPr>
          <w:rStyle w:val="11"/>
          <w:rFonts w:hint="default"/>
          <w:sz w:val="28"/>
          <w:szCs w:val="28"/>
        </w:rPr>
        <w:t>无资料。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生物富集或生物积累性：</w:t>
      </w:r>
      <w:r>
        <w:rPr>
          <w:rStyle w:val="11"/>
          <w:rFonts w:hint="default"/>
          <w:sz w:val="28"/>
          <w:szCs w:val="28"/>
        </w:rPr>
        <w:t>无资料。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土壤中迁移性：</w:t>
      </w:r>
      <w:r>
        <w:rPr>
          <w:rStyle w:val="11"/>
          <w:rFonts w:hint="default"/>
          <w:sz w:val="28"/>
          <w:szCs w:val="28"/>
        </w:rPr>
        <w:t>无资料。</w:t>
      </w:r>
    </w:p>
    <w:p>
      <w:pPr>
        <w:pStyle w:val="9"/>
        <w:spacing w:line="360" w:lineRule="auto"/>
        <w:ind w:left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第十三部分  废弃处置</w:t>
      </w:r>
    </w:p>
    <w:p>
      <w:pPr>
        <w:pStyle w:val="9"/>
        <w:spacing w:line="360" w:lineRule="auto"/>
        <w:ind w:left="0"/>
        <w:jc w:val="center"/>
        <w:rPr>
          <w:b/>
          <w:sz w:val="32"/>
          <w:szCs w:val="32"/>
        </w:rPr>
      </w:pPr>
    </w:p>
    <w:p>
      <w:pPr>
        <w:pStyle w:val="9"/>
        <w:spacing w:line="360" w:lineRule="auto"/>
        <w:ind w:left="0"/>
        <w:rPr>
          <w:rStyle w:val="11"/>
          <w:rFonts w:hint="default" w:cs="宋体"/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废弃物性质：</w:t>
      </w:r>
      <w:r>
        <w:rPr>
          <w:rStyle w:val="11"/>
          <w:rFonts w:hint="default" w:cs="宋体"/>
          <w:sz w:val="28"/>
          <w:szCs w:val="28"/>
        </w:rPr>
        <w:t>危险废物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废弃处置方法：</w:t>
      </w:r>
      <w:r>
        <w:rPr>
          <w:rStyle w:val="11"/>
          <w:rFonts w:hint="default" w:cs="Times New Roman"/>
          <w:sz w:val="28"/>
          <w:szCs w:val="28"/>
        </w:rPr>
        <w:t>控制焚烧或安全掩埋。</w:t>
      </w:r>
    </w:p>
    <w:p>
      <w:pPr>
        <w:pStyle w:val="4"/>
        <w:spacing w:before="80" w:beforeAutospacing="0" w:after="80" w:afterAutospacing="0" w:line="360" w:lineRule="auto"/>
        <w:ind w:left="1200" w:hanging="1200"/>
        <w:rPr>
          <w:sz w:val="28"/>
          <w:szCs w:val="28"/>
        </w:rPr>
      </w:pPr>
      <w:r>
        <w:rPr>
          <w:rStyle w:val="10"/>
          <w:rFonts w:hint="default" w:ascii="宋体" w:eastAsia="宋体"/>
          <w:b/>
          <w:sz w:val="28"/>
          <w:szCs w:val="28"/>
        </w:rPr>
        <w:t>废弃注意事项：</w:t>
      </w:r>
      <w:r>
        <w:rPr>
          <w:rStyle w:val="11"/>
          <w:rFonts w:hint="default"/>
          <w:sz w:val="28"/>
          <w:szCs w:val="28"/>
        </w:rPr>
        <w:t>处置前应参阅国家和地方有关法规。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第十四部分  运输信息</w:t>
      </w:r>
    </w:p>
    <w:p>
      <w:pPr>
        <w:pStyle w:val="9"/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>
      <w:pPr>
        <w:pStyle w:val="9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危险货物编号：</w:t>
      </w:r>
      <w:r>
        <w:rPr>
          <w:rFonts w:hint="eastAsia" w:ascii="宋体" w:hAnsi="宋体"/>
          <w:sz w:val="28"/>
          <w:szCs w:val="28"/>
        </w:rPr>
        <w:t>51019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联合国危险货物编号（UN编号）:</w:t>
      </w:r>
      <w:r>
        <w:rPr>
          <w:rFonts w:hint="eastAsia" w:ascii="宋体" w:hAnsi="宋体"/>
          <w:sz w:val="28"/>
          <w:szCs w:val="28"/>
        </w:rPr>
        <w:t xml:space="preserve">1489         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联合国运输名称：</w:t>
      </w:r>
      <w:r>
        <w:rPr>
          <w:rFonts w:hint="eastAsia" w:ascii="宋体" w:hAnsi="宋体"/>
          <w:sz w:val="28"/>
          <w:szCs w:val="28"/>
        </w:rPr>
        <w:t>高氯酸钾</w:t>
      </w:r>
    </w:p>
    <w:p>
      <w:pPr>
        <w:pStyle w:val="9"/>
        <w:spacing w:line="360" w:lineRule="auto"/>
        <w:ind w:left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联合国危险性分类</w:t>
      </w:r>
      <w:r>
        <w:rPr>
          <w:rFonts w:hint="eastAsia" w:ascii="宋体" w:hAnsi="宋体"/>
          <w:sz w:val="28"/>
          <w:szCs w:val="28"/>
        </w:rPr>
        <w:t>：5.1</w:t>
      </w:r>
    </w:p>
    <w:p>
      <w:pPr>
        <w:pStyle w:val="9"/>
        <w:spacing w:line="360" w:lineRule="auto"/>
        <w:ind w:left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包装标志: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 xml:space="preserve">1 氧化剂   </w:t>
      </w:r>
      <w:r>
        <w:rPr>
          <w:rFonts w:hint="eastAsia" w:ascii="宋体" w:hAnsi="宋体"/>
          <w:b/>
          <w:sz w:val="28"/>
          <w:szCs w:val="28"/>
        </w:rPr>
        <w:t>包装类别:</w:t>
      </w:r>
      <w:r>
        <w:rPr>
          <w:rFonts w:hint="eastAsia" w:ascii="宋体" w:hAnsi="宋体"/>
          <w:sz w:val="28"/>
          <w:szCs w:val="28"/>
        </w:rPr>
        <w:t>I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是否海洋污染物：</w:t>
      </w:r>
      <w:r>
        <w:rPr>
          <w:rFonts w:hint="eastAsia" w:ascii="宋体" w:hAnsi="宋体"/>
          <w:sz w:val="28"/>
          <w:szCs w:val="28"/>
        </w:rPr>
        <w:t>否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包装方法:</w:t>
      </w:r>
      <w:r>
        <w:rPr>
          <w:rFonts w:hint="eastAsia" w:ascii="宋体" w:hAnsi="宋体"/>
          <w:sz w:val="28"/>
          <w:szCs w:val="28"/>
        </w:rPr>
        <w:t>内袋采用塑料内膜袋或双层纸袋，袋口扎紧；外包装采用塑料覆膜编织袋、多层牛皮纸袋、螺纹口塑料瓶、金属桶（罐）、塑料桶（罐）、木板箱或纸箱。</w:t>
      </w:r>
    </w:p>
    <w:p>
      <w:pPr>
        <w:pStyle w:val="9"/>
        <w:spacing w:line="360" w:lineRule="auto"/>
        <w:ind w:left="1940" w:hanging="1940" w:hangingChars="69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运输注意事项:</w:t>
      </w:r>
      <w:r>
        <w:rPr>
          <w:rFonts w:hint="eastAsia" w:ascii="宋体" w:hAnsi="宋体"/>
          <w:sz w:val="28"/>
          <w:szCs w:val="28"/>
        </w:rPr>
        <w:t>切忌与禁配物混储混运。搬运时要轻装轻卸,防止包装及容器的损坏。禁止震动,撞击和摩擦。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第十五部分  法规信息</w:t>
      </w:r>
    </w:p>
    <w:p>
      <w:pPr>
        <w:pStyle w:val="9"/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>
      <w:pPr>
        <w:pStyle w:val="9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危险化学品安全管理条例(国务院令第591号),中华人民共和国安全生产法（中华人民共和国主席令第70号），联合国《关于危险货物运输的建议书》第十三修订版，作业场所安全使用化学品公约（1994年10月22日全国人大通过）等法规，针对危险化学品的安全使用、生产、储存、运输、装卸等方面均作了相应规定。</w:t>
      </w:r>
      <w:r>
        <w:rPr>
          <w:rFonts w:ascii="宋体" w:hAnsi="宋体"/>
          <w:sz w:val="28"/>
          <w:szCs w:val="28"/>
        </w:rPr>
        <w:t>GB13690－2009《化学品分类和危险性公示通则》</w:t>
      </w:r>
      <w:r>
        <w:rPr>
          <w:rFonts w:hint="eastAsia" w:ascii="宋体" w:hAnsi="宋体"/>
          <w:sz w:val="28"/>
          <w:szCs w:val="28"/>
        </w:rPr>
        <w:t>将该物质划为第5.1类氧化剂。</w:t>
      </w:r>
    </w:p>
    <w:p>
      <w:pPr>
        <w:pStyle w:val="9"/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pStyle w:val="9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第十六部分 其他信息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参考文献：</w:t>
      </w:r>
      <w:r>
        <w:rPr>
          <w:rFonts w:hint="eastAsia" w:ascii="宋体" w:hAnsi="宋体"/>
          <w:sz w:val="28"/>
          <w:szCs w:val="28"/>
        </w:rPr>
        <w:t>《全球化学品统一分类和标签制度》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《危险化学品名录》</w:t>
      </w:r>
    </w:p>
    <w:p>
      <w:pPr>
        <w:pStyle w:val="9"/>
        <w:tabs>
          <w:tab w:val="left" w:pos="1620"/>
        </w:tabs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《危险化学品安全技术全书》</w:t>
      </w:r>
    </w:p>
    <w:p>
      <w:pPr>
        <w:pStyle w:val="9"/>
        <w:tabs>
          <w:tab w:val="left" w:pos="1620"/>
        </w:tabs>
        <w:spacing w:line="360" w:lineRule="auto"/>
        <w:ind w:firstLine="1400" w:firstLineChars="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《无机精细化学品手册》</w:t>
      </w:r>
    </w:p>
    <w:p>
      <w:pPr>
        <w:pStyle w:val="9"/>
        <w:spacing w:line="360" w:lineRule="auto"/>
        <w:ind w:left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填表部门：</w:t>
      </w:r>
      <w:r>
        <w:rPr>
          <w:rFonts w:hint="eastAsia" w:ascii="宋体" w:hAnsi="宋体"/>
          <w:sz w:val="28"/>
          <w:szCs w:val="28"/>
        </w:rPr>
        <w:t>四川天源天泉盐化工有限公司安</w:t>
      </w:r>
      <w:r>
        <w:rPr>
          <w:rFonts w:hint="eastAsia" w:ascii="宋体" w:hAnsi="宋体"/>
          <w:sz w:val="28"/>
          <w:szCs w:val="28"/>
          <w:lang w:eastAsia="zh-CN"/>
        </w:rPr>
        <w:t>全</w:t>
      </w:r>
      <w:r>
        <w:rPr>
          <w:rFonts w:hint="eastAsia" w:ascii="宋体" w:hAnsi="宋体"/>
          <w:sz w:val="28"/>
          <w:szCs w:val="28"/>
        </w:rPr>
        <w:t>环</w:t>
      </w:r>
      <w:r>
        <w:rPr>
          <w:rFonts w:hint="eastAsia" w:ascii="宋体" w:hAnsi="宋体"/>
          <w:sz w:val="28"/>
          <w:szCs w:val="28"/>
          <w:lang w:eastAsia="zh-CN"/>
        </w:rPr>
        <w:t>保</w:t>
      </w:r>
      <w:r>
        <w:rPr>
          <w:rFonts w:hint="eastAsia" w:ascii="宋体" w:hAnsi="宋体"/>
          <w:sz w:val="28"/>
          <w:szCs w:val="28"/>
        </w:rPr>
        <w:t>部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数据审核单位：</w:t>
      </w:r>
      <w:r>
        <w:rPr>
          <w:rFonts w:hint="eastAsia" w:ascii="宋体" w:hAnsi="宋体"/>
          <w:sz w:val="28"/>
          <w:szCs w:val="28"/>
        </w:rPr>
        <w:t>四川天源天泉盐化工有限公司</w:t>
      </w:r>
    </w:p>
    <w:p>
      <w:pPr>
        <w:pStyle w:val="9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填表日期：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714" w:right="1466" w:bottom="1440" w:left="144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  <w:rFonts w:hint="eastAsia"/>
      </w:rPr>
      <w:t>第</w:t>
    </w: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10</w:t>
    </w:r>
    <w:r>
      <w:rPr>
        <w:rStyle w:val="7"/>
      </w:rPr>
      <w:fldChar w:fldCharType="end"/>
    </w:r>
    <w:r>
      <w:rPr>
        <w:rStyle w:val="7"/>
        <w:rFonts w:hint="eastAsia"/>
      </w:rPr>
      <w:t xml:space="preserve">页    共10页      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1"/>
        <w:szCs w:val="21"/>
      </w:rPr>
    </w:pPr>
    <w:r>
      <w:rPr>
        <w:rFonts w:hint="eastAsia"/>
        <w:sz w:val="24"/>
        <w:szCs w:val="24"/>
      </w:rPr>
      <w:t xml:space="preserve">高氯酸钾（SDS）NO:FP01                                      </w:t>
    </w:r>
    <w:r>
      <w:rPr>
        <w:sz w:val="21"/>
        <w:szCs w:val="21"/>
      </w:rPr>
      <w:pict>
        <v:line id="_x0000_s2049" o:spid="_x0000_s2049" o:spt="20" style="position:absolute;left:0pt;margin-left:0pt;margin-top:4.2pt;height:0pt;width:450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4NzlkYTQ5MDk4MDJkMThmZGMxZjE4ZDI1OWMzZWUifQ=="/>
  </w:docVars>
  <w:rsids>
    <w:rsidRoot w:val="005A0EA4"/>
    <w:rsid w:val="00016CF6"/>
    <w:rsid w:val="00036F5F"/>
    <w:rsid w:val="00042829"/>
    <w:rsid w:val="00053DC9"/>
    <w:rsid w:val="00054E1E"/>
    <w:rsid w:val="00060F13"/>
    <w:rsid w:val="00061398"/>
    <w:rsid w:val="0008756C"/>
    <w:rsid w:val="000951FE"/>
    <w:rsid w:val="000B32ED"/>
    <w:rsid w:val="000C6E22"/>
    <w:rsid w:val="00124893"/>
    <w:rsid w:val="001265D8"/>
    <w:rsid w:val="0015191B"/>
    <w:rsid w:val="00181FFE"/>
    <w:rsid w:val="00196499"/>
    <w:rsid w:val="001A2297"/>
    <w:rsid w:val="001C0ABA"/>
    <w:rsid w:val="001F727A"/>
    <w:rsid w:val="002042D8"/>
    <w:rsid w:val="002143F1"/>
    <w:rsid w:val="0022333E"/>
    <w:rsid w:val="00224445"/>
    <w:rsid w:val="00234C4C"/>
    <w:rsid w:val="0026431B"/>
    <w:rsid w:val="00270F66"/>
    <w:rsid w:val="00276A48"/>
    <w:rsid w:val="00277CC2"/>
    <w:rsid w:val="0028293C"/>
    <w:rsid w:val="00285C9A"/>
    <w:rsid w:val="00295F2D"/>
    <w:rsid w:val="002A4E5D"/>
    <w:rsid w:val="002B634B"/>
    <w:rsid w:val="002B7C85"/>
    <w:rsid w:val="002E1737"/>
    <w:rsid w:val="002F0A71"/>
    <w:rsid w:val="002F2893"/>
    <w:rsid w:val="0030449C"/>
    <w:rsid w:val="00330718"/>
    <w:rsid w:val="00341B42"/>
    <w:rsid w:val="00346C9F"/>
    <w:rsid w:val="00360D67"/>
    <w:rsid w:val="0036604A"/>
    <w:rsid w:val="003C0CA5"/>
    <w:rsid w:val="003C1318"/>
    <w:rsid w:val="003C1AD1"/>
    <w:rsid w:val="003C3C5A"/>
    <w:rsid w:val="003C589A"/>
    <w:rsid w:val="003D31C6"/>
    <w:rsid w:val="003E2B2B"/>
    <w:rsid w:val="003E6F7E"/>
    <w:rsid w:val="003F4EC5"/>
    <w:rsid w:val="00407B0B"/>
    <w:rsid w:val="0044219E"/>
    <w:rsid w:val="00456F7D"/>
    <w:rsid w:val="004C0A01"/>
    <w:rsid w:val="004C2389"/>
    <w:rsid w:val="004E7915"/>
    <w:rsid w:val="00500AF4"/>
    <w:rsid w:val="005501BE"/>
    <w:rsid w:val="005530CC"/>
    <w:rsid w:val="0056089F"/>
    <w:rsid w:val="005A0EA4"/>
    <w:rsid w:val="005A0FCF"/>
    <w:rsid w:val="005B237F"/>
    <w:rsid w:val="005E23CF"/>
    <w:rsid w:val="005F52FB"/>
    <w:rsid w:val="005F5E4B"/>
    <w:rsid w:val="0062482C"/>
    <w:rsid w:val="00626BAD"/>
    <w:rsid w:val="00670BA7"/>
    <w:rsid w:val="006718E7"/>
    <w:rsid w:val="006A4AE2"/>
    <w:rsid w:val="006C4638"/>
    <w:rsid w:val="006E432C"/>
    <w:rsid w:val="006F30A6"/>
    <w:rsid w:val="006F61AD"/>
    <w:rsid w:val="00715E81"/>
    <w:rsid w:val="00725D79"/>
    <w:rsid w:val="00734886"/>
    <w:rsid w:val="00735A0B"/>
    <w:rsid w:val="0075098A"/>
    <w:rsid w:val="007528A9"/>
    <w:rsid w:val="00780BB8"/>
    <w:rsid w:val="00791104"/>
    <w:rsid w:val="007A15F2"/>
    <w:rsid w:val="007A19CA"/>
    <w:rsid w:val="007A3457"/>
    <w:rsid w:val="007A595B"/>
    <w:rsid w:val="007B3D47"/>
    <w:rsid w:val="007B53CB"/>
    <w:rsid w:val="007F2822"/>
    <w:rsid w:val="00805617"/>
    <w:rsid w:val="008064B3"/>
    <w:rsid w:val="00831AD1"/>
    <w:rsid w:val="00845800"/>
    <w:rsid w:val="00845D0D"/>
    <w:rsid w:val="008535B3"/>
    <w:rsid w:val="0085712F"/>
    <w:rsid w:val="00866CC9"/>
    <w:rsid w:val="00877AB9"/>
    <w:rsid w:val="00877D01"/>
    <w:rsid w:val="008B0A68"/>
    <w:rsid w:val="008B3244"/>
    <w:rsid w:val="008E79CD"/>
    <w:rsid w:val="00935263"/>
    <w:rsid w:val="00951843"/>
    <w:rsid w:val="00956C19"/>
    <w:rsid w:val="00960BE4"/>
    <w:rsid w:val="00960C4E"/>
    <w:rsid w:val="00963592"/>
    <w:rsid w:val="00973251"/>
    <w:rsid w:val="00984B08"/>
    <w:rsid w:val="00984DF2"/>
    <w:rsid w:val="009850DC"/>
    <w:rsid w:val="00993BB1"/>
    <w:rsid w:val="00995BC9"/>
    <w:rsid w:val="009B47EA"/>
    <w:rsid w:val="009B52E3"/>
    <w:rsid w:val="009B6088"/>
    <w:rsid w:val="009C18EE"/>
    <w:rsid w:val="009F5BDC"/>
    <w:rsid w:val="00A17BED"/>
    <w:rsid w:val="00A214EB"/>
    <w:rsid w:val="00A25666"/>
    <w:rsid w:val="00A31DD2"/>
    <w:rsid w:val="00A430B0"/>
    <w:rsid w:val="00A543C4"/>
    <w:rsid w:val="00A60AC9"/>
    <w:rsid w:val="00A802D6"/>
    <w:rsid w:val="00A85DA9"/>
    <w:rsid w:val="00A93BB7"/>
    <w:rsid w:val="00AA0202"/>
    <w:rsid w:val="00AB1532"/>
    <w:rsid w:val="00AC5EB4"/>
    <w:rsid w:val="00AD48E4"/>
    <w:rsid w:val="00B10183"/>
    <w:rsid w:val="00B2216A"/>
    <w:rsid w:val="00B23E79"/>
    <w:rsid w:val="00B24C3E"/>
    <w:rsid w:val="00B33154"/>
    <w:rsid w:val="00B46EAF"/>
    <w:rsid w:val="00B55800"/>
    <w:rsid w:val="00B721C5"/>
    <w:rsid w:val="00B766FF"/>
    <w:rsid w:val="00B8282E"/>
    <w:rsid w:val="00B83DA6"/>
    <w:rsid w:val="00B846F5"/>
    <w:rsid w:val="00BA02FD"/>
    <w:rsid w:val="00BA0DF0"/>
    <w:rsid w:val="00BA3E8E"/>
    <w:rsid w:val="00BC0FCA"/>
    <w:rsid w:val="00BC30FF"/>
    <w:rsid w:val="00BD6B8D"/>
    <w:rsid w:val="00BF0BAF"/>
    <w:rsid w:val="00BF7981"/>
    <w:rsid w:val="00C14D81"/>
    <w:rsid w:val="00C23101"/>
    <w:rsid w:val="00C45190"/>
    <w:rsid w:val="00C52854"/>
    <w:rsid w:val="00C73266"/>
    <w:rsid w:val="00C82E5A"/>
    <w:rsid w:val="00C92FF6"/>
    <w:rsid w:val="00CC4B51"/>
    <w:rsid w:val="00CF59A4"/>
    <w:rsid w:val="00D023CC"/>
    <w:rsid w:val="00D06DEE"/>
    <w:rsid w:val="00D07F81"/>
    <w:rsid w:val="00D14C6A"/>
    <w:rsid w:val="00D33DF4"/>
    <w:rsid w:val="00D63F49"/>
    <w:rsid w:val="00D93365"/>
    <w:rsid w:val="00DA157E"/>
    <w:rsid w:val="00DC284F"/>
    <w:rsid w:val="00DD22A2"/>
    <w:rsid w:val="00E203D2"/>
    <w:rsid w:val="00E3595F"/>
    <w:rsid w:val="00E43FDA"/>
    <w:rsid w:val="00E60E8E"/>
    <w:rsid w:val="00E73815"/>
    <w:rsid w:val="00E73FF7"/>
    <w:rsid w:val="00EB7696"/>
    <w:rsid w:val="00EC5ADB"/>
    <w:rsid w:val="00EE4A6C"/>
    <w:rsid w:val="00EF4986"/>
    <w:rsid w:val="00F123B4"/>
    <w:rsid w:val="00F169CD"/>
    <w:rsid w:val="00F2648E"/>
    <w:rsid w:val="00F45B33"/>
    <w:rsid w:val="00F5596A"/>
    <w:rsid w:val="00F6120F"/>
    <w:rsid w:val="00F72483"/>
    <w:rsid w:val="00F93D9F"/>
    <w:rsid w:val="00FA7E23"/>
    <w:rsid w:val="00FB4FEF"/>
    <w:rsid w:val="00FC1E8B"/>
    <w:rsid w:val="00FE6267"/>
    <w:rsid w:val="00FF7BDA"/>
    <w:rsid w:val="0FA85094"/>
    <w:rsid w:val="0FE00AB7"/>
    <w:rsid w:val="2F3C493C"/>
    <w:rsid w:val="36041CED"/>
    <w:rsid w:val="3ECF55A0"/>
    <w:rsid w:val="442F4D61"/>
    <w:rsid w:val="4B715CEC"/>
    <w:rsid w:val="4F9A5346"/>
    <w:rsid w:val="58AE1EC0"/>
    <w:rsid w:val="5B7939AC"/>
    <w:rsid w:val="6AE84F1E"/>
    <w:rsid w:val="761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0">
    <w:name w:val="bt21"/>
    <w:basedOn w:val="6"/>
    <w:qFormat/>
    <w:uiPriority w:val="0"/>
    <w:rPr>
      <w:rFonts w:hint="eastAsia" w:ascii="黑体" w:eastAsia="黑体"/>
      <w:sz w:val="24"/>
      <w:szCs w:val="24"/>
    </w:rPr>
  </w:style>
  <w:style w:type="character" w:customStyle="1" w:styleId="11">
    <w:name w:val="zw1"/>
    <w:basedOn w:val="6"/>
    <w:qFormat/>
    <w:uiPriority w:val="0"/>
    <w:rPr>
      <w:rFonts w:hint="eastAsia" w:ascii="宋体" w:hAnsi="宋体" w:eastAsia="宋体"/>
      <w:sz w:val="22"/>
      <w:szCs w:val="22"/>
    </w:rPr>
  </w:style>
  <w:style w:type="character" w:customStyle="1" w:styleId="12">
    <w:name w:val="bt11"/>
    <w:basedOn w:val="6"/>
    <w:qFormat/>
    <w:uiPriority w:val="0"/>
    <w:rPr>
      <w:rFonts w:hint="eastAsia" w:ascii="黑体" w:eastAsia="黑体"/>
      <w:color w:val="000000"/>
      <w:sz w:val="28"/>
      <w:szCs w:val="28"/>
    </w:rPr>
  </w:style>
  <w:style w:type="character" w:customStyle="1" w:styleId="13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left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file:///f:\PROGRA~1\360se6\USERDA~1\Temp\GHS03.jpg" TargetMode="Externa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file:///f:\PROGRA~1\360se6\USERDA~1\Temp\GHS07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3387</Words>
  <Characters>3667</Characters>
  <Lines>31</Lines>
  <Paragraphs>8</Paragraphs>
  <TotalTime>165</TotalTime>
  <ScaleCrop>false</ScaleCrop>
  <LinksUpToDate>false</LinksUpToDate>
  <CharactersWithSpaces>3922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2014-04-14T01:20:00Z</dcterms:created>
  <dc:creator>XFT User</dc:creator>
  <cp:lastModifiedBy>洋葱</cp:lastModifiedBy>
  <cp:lastPrinted>2022-11-02T06:04:42Z</cp:lastPrinted>
  <dcterms:modified xsi:type="dcterms:W3CDTF">2022-11-02T06:05:00Z</dcterms:modified>
  <dc:title>化学品安全技术说明书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64B134C22B954223B903F105B14BE839</vt:lpwstr>
  </property>
</Properties>
</file>